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 w:after="280"/>
        <w:jc w:val="center"/>
      </w:pPr>
      <w:r>
        <w:drawing>
          <wp:inline xmlns:a="http://schemas.openxmlformats.org/drawingml/2006/main" xmlns:pic="http://schemas.openxmlformats.org/drawingml/2006/picture">
            <wp:extent cx="1188000" cy="1188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_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118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Aptos Display" w:hAnsi="Aptos Display"/>
          <w:b/>
          <w:color w:val="20263A"/>
          <w:sz w:val="52"/>
        </w:rPr>
        <w:t>ANLAŞMALI BOŞANMA</w:t>
      </w:r>
    </w:p>
    <w:p>
      <w:pPr>
        <w:spacing w:after="280"/>
        <w:jc w:val="center"/>
      </w:pPr>
      <w:r>
        <w:rPr>
          <w:rFonts w:ascii="Aptos" w:hAnsi="Aptos"/>
          <w:b/>
          <w:color w:val="D8B56A"/>
          <w:sz w:val="24"/>
        </w:rPr>
        <w:t>ÖN GÖRÜŞME VE PROTOKOL HAZIRLIK FORMU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3EEE3"/>
            <w:tcBorders>
              <w:left w:val="single" w:sz="18" w:color="D8B56A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20263A"/>
                <w:sz w:val="16"/>
              </w:rPr>
              <w:t xml:space="preserve">FORMUN AMACI  </w:t>
            </w:r>
            <w:r>
              <w:rPr>
                <w:rFonts w:ascii="Aptos" w:hAnsi="Aptos"/>
                <w:color w:val="252A36"/>
                <w:sz w:val="16"/>
              </w:rPr>
              <w:t>Bu form, eşlerin üzerinde mutabık kaldıkları hususların avukat tarafından sistematik biçimde değerlendirilmesi ve anlaşmalı boşanma protokolü taslağının hazırlanması için ön bilgi toplar. Form; dava dilekçesi, protokol veya kişiye özgü hukuki görüş yerine geçmez.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Dosya / görüşme no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Görüşme tarihi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Formu dolduran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İnceleyen avukat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DOLDURMADAN ÖNCE</w:t>
      </w:r>
    </w:p>
    <w:p>
      <w:pPr>
        <w:pStyle w:val="Check"/>
      </w:pPr>
      <w:r>
        <w:t>☐ Her iki eş, boşanma ve sonuçları hakkında serbest iradeyle karar vermelidir.</w:t>
      </w:r>
    </w:p>
    <w:p>
      <w:pPr>
        <w:pStyle w:val="Check"/>
      </w:pPr>
      <w:r>
        <w:t>☐ Evliliğin en az bir yıl sürmüş olması, anlaşmalı boşanma usulünün temel koşullarındandır.</w:t>
      </w:r>
    </w:p>
    <w:p>
      <w:pPr>
        <w:pStyle w:val="Check"/>
      </w:pPr>
      <w:r>
        <w:t>☐ Hâkim tarafları bizzat dinler; mali sonuçlar ile çocuklara ilişkin düzenlemeyi uygun bulmalıdır.</w:t>
      </w:r>
    </w:p>
    <w:p>
      <w:pPr>
        <w:pStyle w:val="Check"/>
      </w:pPr>
      <w:r>
        <w:t>☐ Tereddüt edilen veya uzlaşılmayan başlıklar boş bırakılmalı, kesin bir feragat ifadesi yazılmamalıdır.</w:t>
      </w:r>
    </w:p>
    <w:p>
      <w:pPr>
        <w:pStyle w:val="Check"/>
      </w:pPr>
      <w:r>
        <w:t>☐ Kimlik, sağlık ve mali bilgiler yalnızca gerekli olduğu ölçüde paylaşılmalıdır.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7E9E7"/>
            <w:tcBorders>
              <w:left w:val="single" w:sz="18" w:color="D8B56A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20263A"/>
                <w:sz w:val="16"/>
              </w:rPr>
              <w:t xml:space="preserve">ÖNEMLİ  </w:t>
            </w:r>
            <w:r>
              <w:rPr>
                <w:rFonts w:ascii="Aptos" w:hAnsi="Aptos"/>
                <w:color w:val="252A36"/>
                <w:sz w:val="16"/>
              </w:rPr>
              <w:t>Şiddet, tehdit, baskı, ekonomik kontrol, iletişim engeli veya irade sakatlığı ihtimali varsa bunu avukatınıza özel olarak bildiriniz. Böyle bir durumda anlaşmalı boşanma süreci uygun olmayabilir.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0" w:after="60"/>
      </w:pPr>
      <w:r>
        <w:rPr>
          <w:rFonts w:ascii="Aptos Display" w:hAnsi="Aptos Display"/>
          <w:b/>
          <w:color w:val="D8B56A"/>
          <w:sz w:val="28"/>
        </w:rPr>
        <w:t xml:space="preserve">01  </w:t>
      </w:r>
      <w:r>
        <w:rPr>
          <w:rFonts w:ascii="Aptos Display" w:hAnsi="Aptos Display"/>
          <w:b/>
          <w:color w:val="20263A"/>
          <w:sz w:val="28"/>
        </w:rPr>
        <w:t>Taraflar ve evlilik bilgileri</w:t>
      </w:r>
    </w:p>
    <w:p>
      <w:pPr>
        <w:pStyle w:val="Note"/>
      </w:pPr>
      <w:r>
        <w:t>Protokol ve dava hazırlığında kimlik, iletişim ve usul koşullarının ilk kontrolü.</w:t>
      </w: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BIRINCI EŞ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Adı soyadı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T.C. kimlik no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Telefon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E-posta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Tebligat adresi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Meslek / çalışma durumu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İKINCI EŞ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Adı soyadı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T.C. kimlik no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Telefon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E-posta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Tebligat adresi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Meslek / çalışma durumu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EVLILIK VE DAVA PLANI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Evlenme tarihi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Evlenme yeri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Son ortak konut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Fiilî ayrılık tarihi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Davacı olarak planlanan eş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Yetkili mahkeme notu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</w:tbl>
    <w:p>
      <w:pPr>
        <w:spacing w:after="0"/>
      </w:pPr>
    </w:p>
    <w:p>
      <w:pPr>
        <w:pStyle w:val="Check"/>
      </w:pPr>
      <w:r>
        <w:t>☐ Evlilik en az bir yıldır devam ediyor.</w:t>
      </w:r>
    </w:p>
    <w:p>
      <w:pPr>
        <w:pStyle w:val="Check"/>
      </w:pPr>
      <w:r>
        <w:t>☐ Eşler birlikte başvurmayı değerlendiriyor.</w:t>
      </w:r>
    </w:p>
    <w:p>
      <w:pPr>
        <w:pStyle w:val="Check"/>
      </w:pPr>
      <w:r>
        <w:t>☐ Eşlerden biri dava açacak, diğeri davayı kabul edecek.</w:t>
      </w:r>
    </w:p>
    <w:p>
      <w:pPr>
        <w:pStyle w:val="Check"/>
      </w:pPr>
      <w:r>
        <w:t>☐ Taraflardan biri başka bir avukatla temsil ediliyor.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3EEE3"/>
            <w:tcBorders>
              <w:left w:val="single" w:sz="18" w:color="D8B56A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20263A"/>
                <w:sz w:val="16"/>
              </w:rPr>
              <w:t xml:space="preserve">ÇIKAR ÇATIŞMASI  </w:t>
            </w:r>
            <w:r>
              <w:rPr>
                <w:rFonts w:ascii="Aptos" w:hAnsi="Aptos"/>
                <w:color w:val="252A36"/>
                <w:sz w:val="16"/>
              </w:rPr>
              <w:t>Aynı avukatın her iki eşe birden, menfaatleri çatışabilecek konularda bağımsız hukuki danışmanlık vermesi mümkün olmayabilir. Temsil ve bilgilendirme kapsamı görüşmede ayrıca belirlenir.</w:t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TEMSIL BILGISI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Taraf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Avukat / baro sicili</w:t>
            </w:r>
          </w:p>
        </w:tc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İletişim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Vekâlet durumu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Birinci eş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Var  ☐ Yok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İkinci eş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Var  ☐ Yok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0" w:after="60"/>
      </w:pPr>
      <w:r>
        <w:rPr>
          <w:rFonts w:ascii="Aptos Display" w:hAnsi="Aptos Display"/>
          <w:b/>
          <w:color w:val="D8B56A"/>
          <w:sz w:val="28"/>
        </w:rPr>
        <w:t xml:space="preserve">02  </w:t>
      </w:r>
      <w:r>
        <w:rPr>
          <w:rFonts w:ascii="Aptos Display" w:hAnsi="Aptos Display"/>
          <w:b/>
          <w:color w:val="20263A"/>
          <w:sz w:val="28"/>
        </w:rPr>
        <w:t>Serbest irade, güvenlik ve iletişim</w:t>
      </w:r>
    </w:p>
    <w:p>
      <w:pPr>
        <w:pStyle w:val="Note"/>
      </w:pPr>
      <w:r>
        <w:t>Anlaşmanın gerçek, bilinçli ve baskıdan uzak iradeye dayanıp dayanmadığının ön değerlendirmesi.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Kontrol başlığı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Birinci eş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İkinci eş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Açıklama / avukat notu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Boşanmayı serbest iradesiyle istiyor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Protokol başlıklarını anlayabiliyor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Tehdit, baskı veya ekonomik zorlama yok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Müzakere için yeterli zamanı oldu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Tercüman / erişilebilirlik ihtiyacı yok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Bağımsız hukuki görüş alma imkânı var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Evet ☐ Hayır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RISK VE KORUMA TEDBIRI KONTROLÜ</w:t>
      </w:r>
    </w:p>
    <w:p>
      <w:pPr>
        <w:pStyle w:val="Check"/>
      </w:pPr>
      <w:r>
        <w:t>☐ Taraflar arasında fiziksel, psikolojik, cinsel veya ekonomik şiddet iddiası bulunuyor.</w:t>
      </w:r>
    </w:p>
    <w:p>
      <w:pPr>
        <w:pStyle w:val="Check"/>
      </w:pPr>
      <w:r>
        <w:t>☐ 6284 sayılı Kanun kapsamında tedbir kararı / başvurusu bulunuyor.</w:t>
      </w:r>
    </w:p>
    <w:p>
      <w:pPr>
        <w:pStyle w:val="Check"/>
      </w:pPr>
      <w:r>
        <w:t>☐ Ceza soruşturması, kovuşturması veya uzaklaştırma kararı bulunuyor.</w:t>
      </w:r>
    </w:p>
    <w:p>
      <w:pPr>
        <w:pStyle w:val="Check"/>
      </w:pPr>
      <w:r>
        <w:t>☐ Tarafların doğrudan iletişim kurması güvenli değil.</w:t>
      </w:r>
    </w:p>
    <w:p>
      <w:pPr>
        <w:pStyle w:val="Check"/>
      </w:pPr>
      <w:r>
        <w:t>☐ Çocuğun veya taraflardan birinin acil korunma ihtiyacı bulunuyor.</w:t>
      </w:r>
    </w:p>
    <w:p>
      <w:pPr>
        <w:pStyle w:val="Check"/>
      </w:pPr>
      <w:r>
        <w:t>☐ Yukarıdakilerin hiçbiri bulunmuyor.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İlgili dosya / karar no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Süre ve kapsam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Güvenli iletişim yöntemi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Acil değerlendirme notu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7E9E7"/>
            <w:tcBorders>
              <w:left w:val="single" w:sz="18" w:color="D8B56A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20263A"/>
                <w:sz w:val="16"/>
              </w:rPr>
              <w:t xml:space="preserve">DURDURMA NOKTASI  </w:t>
            </w:r>
            <w:r>
              <w:rPr>
                <w:rFonts w:ascii="Aptos" w:hAnsi="Aptos"/>
                <w:color w:val="252A36"/>
                <w:sz w:val="16"/>
              </w:rPr>
              <w:t>Baskı, şiddet, önemli bilgi saklama veya temel bir konuda uzlaşmazlık tespit edilirse protokol taslağı hazırlanmaz ya da süreç bağımsız hukuki değerlendirmeye kadar bekletilir.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0" w:after="60"/>
      </w:pPr>
      <w:r>
        <w:rPr>
          <w:rFonts w:ascii="Aptos Display" w:hAnsi="Aptos Display"/>
          <w:b/>
          <w:color w:val="D8B56A"/>
          <w:sz w:val="28"/>
        </w:rPr>
        <w:t xml:space="preserve">03  </w:t>
      </w:r>
      <w:r>
        <w:rPr>
          <w:rFonts w:ascii="Aptos Display" w:hAnsi="Aptos Display"/>
          <w:b/>
          <w:color w:val="20263A"/>
          <w:sz w:val="28"/>
        </w:rPr>
        <w:t>Çocuklara ilişkin düzenlemeler</w:t>
      </w:r>
    </w:p>
    <w:p>
      <w:pPr>
        <w:pStyle w:val="Note"/>
      </w:pPr>
      <w:r>
        <w:t>Çocuğun üstün yararı esas alınarak günlük yaşam, kişisel ilişki ve giderlerin açık biçimde planlanması.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Çocuğun adı soyadı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Doğum tarihi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Okul / sınıf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Sağlık / özel ihtiyaç</w:t>
            </w:r>
          </w:p>
        </w:tc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Hâlen kiminle yaşıyor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VELAYET VE YERLEŞIM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Velayete ilişkin mutabakat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Çocuğun ana yerleşim yeri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Adres / seyahat bildirimi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Eğitim ve sağlık karar yöntemi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KIŞISEL ILIŞKI TAKVIMI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Dönem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Planlanan düzen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Teslim / ulaşım / masraf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Hafta içi / hafta sonu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Yarıyıl ve yaz tatili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Bayramlar / özel günler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Doğum günleri / aile günleri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Telefon / görüntülü görüşme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ÇOCUĞUN GIDERLERI VE IŞTIRAK NAFAKASI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Aylık tutar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Ödeme günü / hesabı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Artış ölçütü ve tarihi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Başlangıç tarihi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Ek gider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Paylaşım oranı / üst sınır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Ön onay ve belge yöntemi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Eğitim / kurs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Sağlık / sigorta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Bakım / ulaşım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Diğer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3EEE3"/>
            <w:tcBorders>
              <w:left w:val="single" w:sz="18" w:color="D8B56A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20263A"/>
                <w:sz w:val="16"/>
              </w:rPr>
              <w:t xml:space="preserve">ÇOCUĞUN ÜSTÜN YARARI  </w:t>
            </w:r>
            <w:r>
              <w:rPr>
                <w:rFonts w:ascii="Aptos" w:hAnsi="Aptos"/>
                <w:color w:val="252A36"/>
                <w:sz w:val="16"/>
              </w:rPr>
              <w:t>Tarafların mutabakatı tek başına yeterli değildir. Çocuklara ilişkin düzenleme mahkemenin denetimine tabidir; somut koşullara göre değişiklik önerilebilir.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0" w:after="60"/>
      </w:pPr>
      <w:r>
        <w:rPr>
          <w:rFonts w:ascii="Aptos Display" w:hAnsi="Aptos Display"/>
          <w:b/>
          <w:color w:val="D8B56A"/>
          <w:sz w:val="28"/>
        </w:rPr>
        <w:t xml:space="preserve">04  </w:t>
      </w:r>
      <w:r>
        <w:rPr>
          <w:rFonts w:ascii="Aptos Display" w:hAnsi="Aptos Display"/>
          <w:b/>
          <w:color w:val="20263A"/>
          <w:sz w:val="28"/>
        </w:rPr>
        <w:t>Nafaka ve tazminat</w:t>
      </w:r>
    </w:p>
    <w:p>
      <w:pPr>
        <w:pStyle w:val="Note"/>
      </w:pPr>
      <w:r>
        <w:t>Her talep ve vazgeçme iradesi ayrı ayrı, açık ve ölçülebilir biçimde kaydedilmelidir.</w:t>
      </w: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YOKSULLUK NAFAKASI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Seçim</w:t>
            </w:r>
          </w:p>
        </w:tc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Lehtar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Tutar / ödeme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Artış / süre / sona erme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Talep var</w:t>
            </w:r>
          </w:p>
        </w:tc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Karşılıklı talep yok</w:t>
            </w:r>
          </w:p>
        </w:tc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—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—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Avukat açıklaması sonrası teyit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Karar verilmedi</w:t>
            </w:r>
          </w:p>
        </w:tc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MADDI VE MANEVI TAZMINAT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Başlık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Birinci eşin iradesi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İkinci eşin iradesi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Tutar / ödeme planı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Maddi tazminat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Talep ☐ Yok ☐ Kararsız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Talep ☐ Yok ☐ Kararsız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Manevi tazminat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Talep ☐ Yok ☐ Kararsız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Talep ☐ Yok ☐ Kararsız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ÖDEME AYRINTILARI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Banka / IBAN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İlk ödeme tarihi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Taksit sayısı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Gecikme / temerrüt notu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Vergi / harç değerlendirmesi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Teminat / güvence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7E9E7"/>
            <w:tcBorders>
              <w:left w:val="single" w:sz="18" w:color="D8B56A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20263A"/>
                <w:sz w:val="16"/>
              </w:rPr>
              <w:t xml:space="preserve">FERAGAT UYARISI  </w:t>
            </w:r>
            <w:r>
              <w:rPr>
                <w:rFonts w:ascii="Aptos" w:hAnsi="Aptos"/>
                <w:color w:val="252A36"/>
                <w:sz w:val="16"/>
              </w:rPr>
              <w:t>“Talebim yoktur” veya “karşılıklı ibra” gibi ifadeler, somut olayda ciddi ve kalıcı sonuçlar doğurabilir. Nafaka ve tazminat başlıklarında vazgeçme iradesi ancak kapsamı ve sonuçları avukat tarafından açıklandıktan sonra protokole aktarılmalıdır.</w:t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TARAF AÇIKLAMALARI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Birinci eş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İkinci eş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0" w:after="60"/>
      </w:pPr>
      <w:r>
        <w:rPr>
          <w:rFonts w:ascii="Aptos Display" w:hAnsi="Aptos Display"/>
          <w:b/>
          <w:color w:val="D8B56A"/>
          <w:sz w:val="28"/>
        </w:rPr>
        <w:t xml:space="preserve">05  </w:t>
      </w:r>
      <w:r>
        <w:rPr>
          <w:rFonts w:ascii="Aptos Display" w:hAnsi="Aptos Display"/>
          <w:b/>
          <w:color w:val="20263A"/>
          <w:sz w:val="28"/>
        </w:rPr>
        <w:t>Malvarlığı, mal rejimi ve kişisel eşyalar</w:t>
      </w:r>
    </w:p>
    <w:p>
      <w:pPr>
        <w:pStyle w:val="Note"/>
      </w:pPr>
      <w:r>
        <w:t>Genel bir ibra yerine her mal ve alacak grubu ayrı değerlendirilir.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Varlık / borç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Kayıt / açıklama</w:t>
            </w:r>
          </w:p>
        </w:tc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Mevcut durum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Kararlaştırılan işlem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Tarih / masraf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Taşınmaz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Araç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Banka / yatırım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Şirket payı / ticari değer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Kredi / borç / kefalet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Diğer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MAL REJIMININ TASFIYESI</w:t>
      </w:r>
    </w:p>
    <w:p>
      <w:pPr>
        <w:pStyle w:val="Check"/>
      </w:pPr>
      <w:r>
        <w:t>☐ ☐ Ayrı bir mal rejimi tasfiye protokolü hazırlanacak.</w:t>
      </w:r>
    </w:p>
    <w:p>
      <w:pPr>
        <w:pStyle w:val="Check"/>
      </w:pPr>
      <w:r>
        <w:t>☐ ☐ Tasfiye bu protokolde ayrıntılı düzenlenecek.</w:t>
      </w:r>
    </w:p>
    <w:p>
      <w:pPr>
        <w:pStyle w:val="Check"/>
      </w:pPr>
      <w:r>
        <w:t>☐ ☐ Taraflar mal rejimi alacakları hakkında henüz karar vermedi.</w:t>
      </w:r>
    </w:p>
    <w:p>
      <w:pPr>
        <w:pStyle w:val="Check"/>
      </w:pPr>
      <w:r>
        <w:t>☐ ☐ Taraflar, hukuki sonuçları açıklandıktan sonra karşılıklı talep bulunmadığını beyan ediyor.</w:t>
      </w: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ZIYNET, KIŞISEL EŞYA VE EV EŞYASI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Grup</w:t>
            </w:r>
          </w:p>
        </w:tc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Kimde / nerede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Teslim edilecekler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Teslim tarihi / tutanak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Ziynet / takı</w:t>
            </w:r>
          </w:p>
        </w:tc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Kişisel eşya</w:t>
            </w:r>
          </w:p>
        </w:tc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Ev eşyası</w:t>
            </w:r>
          </w:p>
        </w:tc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Dijital hesap / belge</w:t>
            </w:r>
          </w:p>
        </w:tc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3EEE3"/>
            <w:tcBorders>
              <w:left w:val="single" w:sz="18" w:color="D8B56A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20263A"/>
                <w:sz w:val="16"/>
              </w:rPr>
              <w:t xml:space="preserve">ÜÇÜNCÜ KİŞİLER  </w:t>
            </w:r>
            <w:r>
              <w:rPr>
                <w:rFonts w:ascii="Aptos" w:hAnsi="Aptos"/>
                <w:color w:val="252A36"/>
                <w:sz w:val="16"/>
              </w:rPr>
              <w:t>Banka, tapu, şirket, kredi veren veya başka üçüncü kişilerin onayı gereken işlemler yalnızca eşlerin protokolüyle tamamlanmayabilir. Devir, vergi, harç ve finansman koşulları ayrıca doğrulanmalıdır.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0" w:after="60"/>
      </w:pPr>
      <w:r>
        <w:rPr>
          <w:rFonts w:ascii="Aptos Display" w:hAnsi="Aptos Display"/>
          <w:b/>
          <w:color w:val="D8B56A"/>
          <w:sz w:val="28"/>
        </w:rPr>
        <w:t xml:space="preserve">06  </w:t>
      </w:r>
      <w:r>
        <w:rPr>
          <w:rFonts w:ascii="Aptos Display" w:hAnsi="Aptos Display"/>
          <w:b/>
          <w:color w:val="20263A"/>
          <w:sz w:val="28"/>
        </w:rPr>
        <w:t>Dosyalar, giderler ve diğer hükümler</w:t>
      </w:r>
    </w:p>
    <w:p>
      <w:pPr>
        <w:pStyle w:val="Note"/>
      </w:pPr>
      <w:r>
        <w:t>Mevcut uyuşmazlıklar ile dava sonrası uygulanacak işlemler birlikte planlanır.</w:t>
      </w: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DEVAM EDEN DOSYALAR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Mahkeme / kurum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Dosya no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Konu</w:t>
            </w:r>
          </w:p>
        </w:tc>
        <w:tc>
          <w:tcPr>
            <w:tcW w:type="dxa" w:w="23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Planlanan işlem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Süre / sorumlu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Hukuk davası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İcra takibi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Ceza soruşturması / davası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6284 tedbiri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Arabuluculuk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Başka işlem yok</w:t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YARGILAMA GIDERLERI VE VEKÂLET ÜCRETI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Kalem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Mutabakat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Ödeme zamanı / yöntemi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Harç ve yargılama giderleri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Davacı ☐ Davalı ☐ Yarı yarıya ☐ Diğer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Tarafların kendi vekâlet ücretleri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Herkes kendisi ☐ Diğer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Karşı vekâlet ücreti talebi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Talep yok ☐ Talep var ☐ Değerlendirilecek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Devir / noter / vergi giderleri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☐ Paylaşım belirlendi ☐ Değerlendirilecek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SOYADI, KONUT VE BILDIRIMLER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Boşanma sonrası soyadı notu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Aile konutunun tahliyesi / kullanımı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Adres / eşya teslim tarihi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3EEE3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20263A"/>
                <w:sz w:val="15"/>
              </w:rPr>
              <w:t>Taraflar arası bildirim kanalı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3EEE3"/>
            <w:tcBorders>
              <w:left w:val="single" w:sz="18" w:color="D8B56A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20263A"/>
                <w:sz w:val="16"/>
              </w:rPr>
              <w:t xml:space="preserve">SÜRE VE İCRA EDİLEBİLİRLİK  </w:t>
            </w:r>
            <w:r>
              <w:rPr>
                <w:rFonts w:ascii="Aptos" w:hAnsi="Aptos"/>
                <w:color w:val="252A36"/>
                <w:sz w:val="16"/>
              </w:rPr>
              <w:t>Protokol hükümlerinin açık, tarihli ve uygulanabilir olması önemlidir. Dava dışındaki devir, teslim veya ödeme adımları için ayrıca belge, onay ve takip gerekebilir.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0" w:after="60"/>
      </w:pPr>
      <w:r>
        <w:rPr>
          <w:rFonts w:ascii="Aptos Display" w:hAnsi="Aptos Display"/>
          <w:b/>
          <w:color w:val="D8B56A"/>
          <w:sz w:val="28"/>
        </w:rPr>
        <w:t xml:space="preserve">07  </w:t>
      </w:r>
      <w:r>
        <w:rPr>
          <w:rFonts w:ascii="Aptos Display" w:hAnsi="Aptos Display"/>
          <w:b/>
          <w:color w:val="20263A"/>
          <w:sz w:val="28"/>
        </w:rPr>
        <w:t>Protokol karar özeti</w:t>
      </w:r>
    </w:p>
    <w:p>
      <w:pPr>
        <w:pStyle w:val="Note"/>
      </w:pPr>
      <w:r>
        <w:t>Bu sayfa, avukatın protokol taslağını hazırlarken mutabakat ve açık kalan noktaları tek bakışta görmesi içindir.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Başlık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Mutabakat özeti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Hukuki inceleme / belge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Boşanma iradesi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Tamam ☐ Açık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Çocuk / velayet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Tamam ☐ Açık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Kişisel ilişki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Tamam ☐ Açık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İştirak nafakası / giderler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Tamam ☐ Açık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Yoksulluk nafakası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Tamam ☐ Açık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Maddi / manevi tazminat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Tamam ☐ Açık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Mal rejimi / taşınmaz / araç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Tamam ☐ Açık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Ziynet / eşya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Tamam ☐ Açık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Borçlar / üçüncü kişiler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Tamam ☐ Açık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Dosyalar / giderler / ücret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Tamam ☐ Açık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Diğer hükümler</w:t>
            </w:r>
          </w:p>
        </w:tc>
        <w:tc>
          <w:tcPr>
            <w:tcW w:type="dxa" w:w="374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  <w:t>☐ Tamam ☐ Açık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4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TASLAK ÖNCESI AÇIK KONULAR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Konu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Kimden bilgi / belge bekleniyor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Son tarih</w:t>
            </w:r>
          </w:p>
        </w:tc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3EEE3"/>
            <w:tcBorders>
              <w:left w:val="single" w:sz="18" w:color="D8B56A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20263A"/>
                <w:sz w:val="16"/>
              </w:rPr>
              <w:t xml:space="preserve">TASLAK KURALI  </w:t>
            </w:r>
            <w:r>
              <w:rPr>
                <w:rFonts w:ascii="Aptos" w:hAnsi="Aptos"/>
                <w:color w:val="252A36"/>
                <w:sz w:val="16"/>
              </w:rPr>
              <w:t>“Tamam” işaretli olsa dahi protokole aktarılacak ifade avukat tarafından hukuki sonuç, açıklık ve uygulanabilirlik yönünden yeniden değerlendirilir.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0" w:after="60"/>
      </w:pPr>
      <w:r>
        <w:rPr>
          <w:rFonts w:ascii="Aptos Display" w:hAnsi="Aptos Display"/>
          <w:b/>
          <w:color w:val="D8B56A"/>
          <w:sz w:val="28"/>
        </w:rPr>
        <w:t xml:space="preserve">08  </w:t>
      </w:r>
      <w:r>
        <w:rPr>
          <w:rFonts w:ascii="Aptos Display" w:hAnsi="Aptos Display"/>
          <w:b/>
          <w:color w:val="20263A"/>
          <w:sz w:val="28"/>
        </w:rPr>
        <w:t>Belge listesi, son teyit ve büro notu</w:t>
      </w:r>
    </w:p>
    <w:p>
      <w:pPr>
        <w:pStyle w:val="Note"/>
      </w:pPr>
      <w:r>
        <w:t>Dosya hazırlığı tamamlanmadan önce belgeler, duruşma katılımı ve taraf iradeleri yeniden kontrol edilir.</w:t>
      </w: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BELGE KONTROL LISTESI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Kimlik fotokopileri / kimlik bilgileri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Adres ve iletişim bilgileri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Varsa çocukların okul ve sağlık bilgileri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Taşınmaz tapu bilgileri / takyidat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Araç ruhsat bilgileri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Banka, kredi, yatırım veya borç belgeleri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Şirket payı / ticari kayıt belgeleri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Ziynet ve eşya listesi / teslim tutanağı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Devam eden dava, icra veya tedbir dosyaları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Vekâletname ve temsil bilgileri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  <w:t>☐ Diğer: ______________________________________________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6"/>
              </w:rPr>
            </w:r>
          </w:p>
        </w:tc>
      </w:tr>
    </w:tbl>
    <w:p>
      <w:pPr>
        <w:spacing w:after="0"/>
      </w:pP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DURUŞMA VE SON TEYIT</w:t>
      </w:r>
    </w:p>
    <w:p>
      <w:pPr>
        <w:pStyle w:val="Check"/>
      </w:pPr>
      <w:r>
        <w:t>☐ Taraflar, hâkim tarafından bizzat dinleneceklerini biliyor.</w:t>
      </w:r>
    </w:p>
    <w:p>
      <w:pPr>
        <w:pStyle w:val="Check"/>
      </w:pPr>
      <w:r>
        <w:t>☐ Duruşma tarihi ve katılım planı taraflara bildirilecek.</w:t>
      </w:r>
    </w:p>
    <w:p>
      <w:pPr>
        <w:pStyle w:val="Check"/>
      </w:pPr>
      <w:r>
        <w:t>☐ Her taraf protokol taslağını imzadan önce okuyacak ve soru sorabilecek.</w:t>
      </w:r>
    </w:p>
    <w:p>
      <w:pPr>
        <w:pStyle w:val="Check"/>
      </w:pPr>
      <w:r>
        <w:t>☐ Boş bırakılan alanlar ve açık konular protokol imzasından önce tamamlanacak.</w:t>
      </w:r>
    </w:p>
    <w:p>
      <w:pPr>
        <w:pStyle w:val="Check"/>
      </w:pPr>
      <w:r>
        <w:t>☐ Mal rejimi, ziynet, nafaka ve tazminat konularındaki beyanlar ayrı ayrı teyit edilecek.</w:t>
      </w:r>
    </w:p>
    <w:p>
      <w:pPr>
        <w:pStyle w:val="Check"/>
      </w:pPr>
      <w:r>
        <w:t>☐ Mahkemenin, mali sonuçlar veya çocuklara ilişkin düzenlemede değişiklik önerebileceği biliniyor.</w:t>
      </w:r>
    </w:p>
    <w:p>
      <w:pPr>
        <w:spacing w:before="100" w:after="40"/>
      </w:pPr>
      <w:r>
        <w:rPr>
          <w:rFonts w:ascii="Aptos" w:hAnsi="Aptos"/>
          <w:b/>
          <w:color w:val="20263A"/>
          <w:sz w:val="17"/>
        </w:rPr>
        <w:t>TARAF BEYANI</w:t>
      </w:r>
    </w:p>
    <w:p>
      <w:pPr>
        <w:pStyle w:val="Note"/>
        <w:spacing w:after="80"/>
      </w:pPr>
      <w:r>
        <w:t>Bu formdaki bilgilerin bildiğim kadarıyla doğru olduğunu; formun tek başına anlaşmalı boşanma protokolü, dava dilekçesi veya hukuki görüş olmadığını; nihai metni imzalamadan önce okuyup değerlendireceğimi beyan ederim.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  <w:cantSplit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Birinci eş</w:t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20263A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İkinci eş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Ad soyad</w:t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Tarih</w:t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İmza</w:t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  <w:t>Avukat / büro notu</w:t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DE5"/>
              <w:left w:val="single" w:sz="4" w:color="D9DDE5"/>
              <w:bottom w:val="single" w:sz="4" w:color="D9DDE5"/>
              <w:right w:val="single" w:sz="4" w:color="D9DDE5"/>
            </w:tcBorders>
            <w:shd w:fill="F8F9FB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252A36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3EEE3"/>
            <w:tcBorders>
              <w:left w:val="single" w:sz="18" w:color="D8B56A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20263A"/>
                <w:sz w:val="16"/>
              </w:rPr>
              <w:t xml:space="preserve">BÜRO İÇİ SONUÇ  </w:t>
            </w:r>
            <w:r>
              <w:rPr>
                <w:rFonts w:ascii="Aptos" w:hAnsi="Aptos"/>
                <w:color w:val="252A36"/>
                <w:sz w:val="16"/>
              </w:rPr>
              <w:t>☐ Protokol taslağı hazırlanabilir   ☐ Ek bilgi/belge bekleniyor   ☐ Bağımsız hukuki görüş önerildi   ☐ Anlaşmalı süreç uygun görünmüyor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64" w:bottom="822" w:left="964" w:header="312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26A78"/>
        <w:sz w:val="13"/>
      </w:rPr>
      <w:t xml:space="preserve">GİZLİLİK İÇERİR  •  ÖN GÖRÜŞME VE PROTOKOL HAZIRLIĞI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89"/>
      <w:gridCol w:w="4989"/>
    </w:tblGrid>
    <w:tr>
      <w:tc>
        <w:tcPr>
          <w:tcW w:type="dxa" w:w="680"/>
          <w:tcBorders>
            <w:bottom w:val="single" w:sz="8" w:color="D8B56A"/>
          </w:tcBorders>
          <w:tcMar>
            <w:top w:w="0" w:type="dxa"/>
            <w:start w:w="0" w:type="dxa"/>
            <w:bottom w:w="40" w:type="dxa"/>
            <w:end w:w="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70000" cy="270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c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00" cy="270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298"/>
          <w:tcBorders>
            <w:bottom w:val="single" w:sz="8" w:color="D8B56A"/>
          </w:tcBorders>
          <w:tcMar>
            <w:top w:w="0" w:type="dxa"/>
            <w:start w:w="0" w:type="dxa"/>
            <w:bottom w:w="40" w:type="dxa"/>
            <w:end w:w="0" w:type="dxa"/>
          </w:tcMar>
        </w:tcPr>
        <w:p>
          <w:pPr>
            <w:jc w:val="right"/>
          </w:pPr>
          <w:r>
            <w:rPr>
              <w:rFonts w:ascii="Aptos" w:hAnsi="Aptos"/>
              <w:b/>
              <w:color w:val="20263A"/>
              <w:sz w:val="14"/>
            </w:rPr>
            <w:t>AV. FATİH ÇAKIR  |  AİLE HUKUKU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52A36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">
    <w:name w:val="Note"/>
    <w:pPr>
      <w:spacing w:after="80" w:line="240" w:lineRule="auto"/>
    </w:pPr>
    <w:rPr>
      <w:rFonts w:ascii="Aptos" w:hAnsi="Aptos"/>
      <w:color w:val="626A78"/>
      <w:sz w:val="16"/>
    </w:rPr>
  </w:style>
  <w:style w:type="paragraph" w:customStyle="1" w:styleId="Check">
    <w:name w:val="Check"/>
    <w:pPr>
      <w:spacing w:after="20"/>
      <w:ind w:left="57"/>
    </w:pPr>
    <w:rPr>
      <w:rFonts w:ascii="Aptos" w:hAnsi="Aptos"/>
      <w:color w:val="252A3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Anlaşmalı Boşanma Ön Görüşme ve Protokol Hazırlık Formu</dc:title>
  <dc:subject>Anlaşmalı boşanma protokolü hazırlığı için sistematik bilgi formu</dc:subject>
  <dc:creator>Av. Fatih Çakır</dc:creator>
  <cp:keywords>anlaşmalı boşanma, protokol, müvekkil bilgi formu, aile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